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C5" w:rsidRDefault="00CE68AA" w:rsidP="000573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3B1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19175" cy="11239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3C5" w:rsidRDefault="000573C5" w:rsidP="00057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</w:rPr>
        <w:br/>
        <w:t>СЛАНЦЕРУДНИКОВСКОГО МУНИЦИПАЛЬНОГО ОБРАЗОВАНИЯ ОЗИНСКОГО МУНИЦИПАЛЬНОГО РАЙОНА</w:t>
      </w:r>
    </w:p>
    <w:p w:rsidR="000573C5" w:rsidRDefault="000573C5" w:rsidP="000573C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0573C5" w:rsidRDefault="000573C5" w:rsidP="000573C5">
      <w:pPr>
        <w:pStyle w:val="a4"/>
        <w:tabs>
          <w:tab w:val="left" w:pos="708"/>
        </w:tabs>
        <w:spacing w:after="240" w:line="240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110"/>
          <w:sz w:val="24"/>
        </w:rPr>
        <w:t>ПОСТАНОВЛЕНИЕ</w:t>
      </w:r>
    </w:p>
    <w:p w:rsidR="000573C5" w:rsidRDefault="000573C5" w:rsidP="000573C5">
      <w:pPr>
        <w:pStyle w:val="a4"/>
        <w:tabs>
          <w:tab w:val="clear" w:pos="4153"/>
          <w:tab w:val="clear" w:pos="8306"/>
          <w:tab w:val="left" w:pos="708"/>
          <w:tab w:val="right" w:pos="9639"/>
        </w:tabs>
        <w:spacing w:before="240" w:line="240" w:lineRule="auto"/>
        <w:ind w:firstLine="0"/>
        <w:jc w:val="center"/>
        <w:rPr>
          <w:b/>
        </w:rPr>
      </w:pPr>
      <w:r>
        <w:rPr>
          <w:b/>
        </w:rPr>
        <w:t xml:space="preserve">от 25.01.2023 года     № </w:t>
      </w:r>
      <w:r>
        <w:rPr>
          <w:b/>
        </w:rPr>
        <w:t>4</w:t>
      </w:r>
    </w:p>
    <w:p w:rsidR="007B0E4A" w:rsidRPr="00C63B1F" w:rsidRDefault="007B0E4A" w:rsidP="007B0E4A">
      <w:pPr>
        <w:spacing w:after="0" w:line="240" w:lineRule="auto"/>
        <w:ind w:right="39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E4A" w:rsidRPr="007B0E4A" w:rsidRDefault="00B45321" w:rsidP="000573C5">
      <w:pPr>
        <w:spacing w:after="0" w:line="240" w:lineRule="auto"/>
        <w:ind w:right="39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установлении величины </w:t>
      </w:r>
      <w:r w:rsidR="007B0E4A" w:rsidRPr="007B0E4A">
        <w:rPr>
          <w:rFonts w:ascii="Times New Roman" w:hAnsi="Times New Roman"/>
          <w:sz w:val="28"/>
        </w:rPr>
        <w:t>коэффициента соответствия и размера платы за наем жилого помещения на</w:t>
      </w:r>
      <w:r w:rsidR="000573C5">
        <w:rPr>
          <w:rFonts w:ascii="Times New Roman" w:hAnsi="Times New Roman"/>
          <w:sz w:val="28"/>
        </w:rPr>
        <w:t xml:space="preserve"> </w:t>
      </w:r>
      <w:r w:rsidR="007B0E4A" w:rsidRPr="007B0E4A">
        <w:rPr>
          <w:rFonts w:ascii="Times New Roman" w:hAnsi="Times New Roman"/>
          <w:sz w:val="28"/>
        </w:rPr>
        <w:t xml:space="preserve">территории </w:t>
      </w:r>
      <w:r w:rsidR="000573C5">
        <w:rPr>
          <w:rFonts w:ascii="Times New Roman" w:hAnsi="Times New Roman"/>
          <w:sz w:val="28"/>
          <w:szCs w:val="28"/>
        </w:rPr>
        <w:t>Сланцерудниковского муниципального образования Озинского муниципального района</w:t>
      </w: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B0E4A" w:rsidRPr="00C63B1F" w:rsidRDefault="007B0E4A" w:rsidP="000573C5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156 Жилищного кодекса Российской Федерации, приказом Министерства строительства и жилищно-коммунального хозяйства Российской Федерации от 27 сентября 2016 года № 668/пр.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0573C5"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изменениями и дополнениями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5766"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Сланцерудниковского муниципального образования Озинского муниципального района Саратовской области 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>от  2</w:t>
      </w:r>
      <w:r w:rsidR="000573C5" w:rsidRPr="00C63B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73C5" w:rsidRPr="00C63B1F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 202</w:t>
      </w:r>
      <w:r w:rsidR="000573C5" w:rsidRPr="00C63B1F">
        <w:rPr>
          <w:rFonts w:ascii="Times New Roman" w:eastAsia="Times New Roman" w:hAnsi="Times New Roman"/>
          <w:sz w:val="28"/>
          <w:szCs w:val="28"/>
          <w:lang w:eastAsia="ru-RU"/>
        </w:rPr>
        <w:t>3 года № 3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573C5" w:rsidRPr="00C32D1E">
        <w:rPr>
          <w:rFonts w:ascii="Times New Roman" w:hAnsi="Times New Roman"/>
          <w:sz w:val="28"/>
          <w:szCs w:val="28"/>
        </w:rPr>
        <w:t>Об утверждении порядка расчета размера платы за пользование жилыми помещениями по договорам социального найма и договорам найма жилых помещений</w:t>
      </w:r>
      <w:r w:rsidR="000573C5">
        <w:rPr>
          <w:rFonts w:ascii="Times New Roman" w:hAnsi="Times New Roman"/>
          <w:sz w:val="28"/>
          <w:szCs w:val="28"/>
        </w:rPr>
        <w:t xml:space="preserve"> муниципального жилищного фонда Сланцерудниковского муниципального образования Озинского муниципального района Саратовской области</w:t>
      </w:r>
      <w:r w:rsidR="000573C5">
        <w:rPr>
          <w:rFonts w:ascii="Times New Roman" w:hAnsi="Times New Roman"/>
          <w:sz w:val="28"/>
          <w:szCs w:val="28"/>
        </w:rPr>
        <w:t>»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</w:t>
      </w:r>
      <w:r w:rsidR="0044701C">
        <w:rPr>
          <w:rFonts w:ascii="Times New Roman" w:hAnsi="Times New Roman"/>
          <w:sz w:val="28"/>
          <w:szCs w:val="28"/>
        </w:rPr>
        <w:t>Уставом Сланцерудниковского муниципального образования Озинского муниципального района Саратовской области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63B1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B0E4A" w:rsidRPr="00C63B1F" w:rsidRDefault="007B0E4A" w:rsidP="007B0E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 величину коэффициента соответствия платы за пользование жилым помещением (платы за наем), предоставленным по договору социального найма или договору найма жилого помещения государственного или муниципального жилищного фонда, на территории </w:t>
      </w:r>
      <w:r w:rsidR="0044701C" w:rsidRPr="00C63B1F">
        <w:rPr>
          <w:rFonts w:ascii="Times New Roman" w:eastAsia="Times New Roman" w:hAnsi="Times New Roman"/>
          <w:sz w:val="28"/>
          <w:szCs w:val="28"/>
          <w:lang w:eastAsia="ru-RU"/>
        </w:rPr>
        <w:t>Сланцерудниковского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Озинского муниципального</w:t>
      </w:r>
      <w:r w:rsidR="004A1F5C"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Саратовской области </w:t>
      </w:r>
      <w:r w:rsidR="0044701C" w:rsidRPr="00C63B1F">
        <w:rPr>
          <w:rFonts w:ascii="Times New Roman" w:eastAsia="Times New Roman" w:hAnsi="Times New Roman"/>
          <w:sz w:val="28"/>
          <w:szCs w:val="28"/>
          <w:lang w:eastAsia="ru-RU"/>
        </w:rPr>
        <w:t>с 01 февраля 2023 года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1F5C" w:rsidRPr="00C63B1F">
        <w:rPr>
          <w:rFonts w:ascii="Times New Roman" w:eastAsia="Times New Roman" w:hAnsi="Times New Roman"/>
          <w:sz w:val="28"/>
          <w:szCs w:val="28"/>
          <w:lang w:eastAsia="ru-RU"/>
        </w:rPr>
        <w:t>в размере 0,095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0E4A" w:rsidRPr="00C63B1F" w:rsidRDefault="007B0E4A" w:rsidP="007B0E4A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2. Установить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жилищного фонда на территории </w:t>
      </w:r>
      <w:r w:rsidR="0044701C">
        <w:rPr>
          <w:rFonts w:ascii="Times New Roman" w:hAnsi="Times New Roman"/>
          <w:sz w:val="28"/>
          <w:szCs w:val="28"/>
        </w:rPr>
        <w:t>Сланцерудниковского муниципального образования Озинского муниципального района Саратовской области</w:t>
      </w:r>
      <w:r w:rsidR="0044701C"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701C" w:rsidRPr="00C63B1F">
        <w:rPr>
          <w:rFonts w:ascii="Times New Roman" w:eastAsia="Times New Roman" w:hAnsi="Times New Roman"/>
          <w:sz w:val="28"/>
          <w:szCs w:val="28"/>
          <w:lang w:eastAsia="ru-RU"/>
        </w:rPr>
        <w:t>с 01 февраля 2023 года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63B1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постановлению.</w:t>
      </w:r>
    </w:p>
    <w:p w:rsidR="0044701C" w:rsidRDefault="0044701C" w:rsidP="0044701C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 Разместить текст настоящего постановления на официальном сайте администрации Озинского муниципального района Саратовской области  в разделе «Сланцерудниковское муниципальное образование» в сети Интернет </w:t>
      </w:r>
      <w:hyperlink r:id="rId5" w:history="1">
        <w:r>
          <w:rPr>
            <w:rStyle w:val="a8"/>
            <w:rFonts w:ascii="Times New Roman" w:hAnsi="Times New Roman"/>
            <w:spacing w:val="2"/>
            <w:sz w:val="28"/>
            <w:szCs w:val="28"/>
            <w:lang w:val="en-US"/>
          </w:rPr>
          <w:t>www</w:t>
        </w:r>
        <w:r>
          <w:rPr>
            <w:rStyle w:val="a8"/>
            <w:rFonts w:ascii="Times New Roman" w:hAnsi="Times New Roman"/>
            <w:spacing w:val="2"/>
            <w:sz w:val="28"/>
            <w:szCs w:val="28"/>
          </w:rPr>
          <w:t>.</w:t>
        </w:r>
        <w:r>
          <w:rPr>
            <w:rStyle w:val="a8"/>
            <w:rFonts w:ascii="Times New Roman" w:hAnsi="Times New Roman"/>
            <w:spacing w:val="2"/>
            <w:sz w:val="28"/>
            <w:szCs w:val="28"/>
            <w:lang w:val="en-US"/>
          </w:rPr>
          <w:t>ozinki</w:t>
        </w:r>
        <w:r>
          <w:rPr>
            <w:rStyle w:val="a8"/>
            <w:rFonts w:ascii="Times New Roman" w:hAnsi="Times New Roman"/>
            <w:spacing w:val="2"/>
            <w:sz w:val="28"/>
            <w:szCs w:val="28"/>
          </w:rPr>
          <w:t>.</w:t>
        </w:r>
        <w:r>
          <w:rPr>
            <w:rStyle w:val="a8"/>
            <w:rFonts w:ascii="Times New Roman" w:hAnsi="Times New Roman"/>
            <w:spacing w:val="2"/>
            <w:sz w:val="28"/>
            <w:szCs w:val="28"/>
            <w:lang w:val="en-US"/>
          </w:rPr>
          <w:t>sarmo</w:t>
        </w:r>
        <w:r>
          <w:rPr>
            <w:rStyle w:val="a8"/>
            <w:rFonts w:ascii="Times New Roman" w:hAnsi="Times New Roman"/>
            <w:spacing w:val="2"/>
            <w:sz w:val="28"/>
            <w:szCs w:val="28"/>
          </w:rPr>
          <w:t>.</w:t>
        </w:r>
        <w:r>
          <w:rPr>
            <w:rStyle w:val="a8"/>
            <w:rFonts w:ascii="Times New Roman" w:hAnsi="Times New Roman"/>
            <w:spacing w:val="2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. </w:t>
      </w:r>
    </w:p>
    <w:p w:rsidR="0044701C" w:rsidRDefault="0044701C" w:rsidP="0044701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B0705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0B0705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с 01 февраля 2023 года.</w:t>
      </w:r>
      <w:r w:rsidRPr="000B0705">
        <w:rPr>
          <w:rFonts w:ascii="Times New Roman" w:hAnsi="Times New Roman"/>
          <w:bCs/>
          <w:sz w:val="28"/>
        </w:rPr>
        <w:t xml:space="preserve"> </w:t>
      </w:r>
    </w:p>
    <w:p w:rsidR="0044701C" w:rsidRDefault="0044701C" w:rsidP="0044701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Контроль за исполнением настоящего постановления оставляю за собой.</w:t>
      </w: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4701C" w:rsidRDefault="0044701C" w:rsidP="0044701C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Сланцерудниковского </w:t>
      </w:r>
    </w:p>
    <w:p w:rsidR="0044701C" w:rsidRDefault="0044701C" w:rsidP="0044701C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Е.И. Кулибабина         </w:t>
      </w:r>
    </w:p>
    <w:p w:rsidR="0044701C" w:rsidRPr="00C32D1E" w:rsidRDefault="0044701C" w:rsidP="0044701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0E4A" w:rsidRPr="00C63B1F" w:rsidRDefault="007B0E4A" w:rsidP="007B0E4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B0E4A" w:rsidRPr="007B0E4A" w:rsidRDefault="007B0E4A" w:rsidP="007B0E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4701C" w:rsidRPr="00C63B1F" w:rsidRDefault="0044701C" w:rsidP="007B0E4A">
      <w:pPr>
        <w:spacing w:after="0" w:line="276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01C" w:rsidRPr="00C63B1F" w:rsidRDefault="0044701C" w:rsidP="007B0E4A">
      <w:pPr>
        <w:spacing w:after="0" w:line="276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01C" w:rsidRPr="00C63B1F" w:rsidRDefault="0044701C" w:rsidP="007B0E4A">
      <w:pPr>
        <w:spacing w:after="0" w:line="276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01C" w:rsidRPr="00C63B1F" w:rsidRDefault="0044701C" w:rsidP="007B0E4A">
      <w:pPr>
        <w:spacing w:after="0" w:line="276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E4A" w:rsidRPr="00C63B1F" w:rsidRDefault="007B0E4A" w:rsidP="007B0E4A">
      <w:pPr>
        <w:spacing w:after="0" w:line="276" w:lineRule="auto"/>
        <w:ind w:firstLine="851"/>
        <w:jc w:val="right"/>
        <w:rPr>
          <w:rFonts w:ascii="Times New Roman" w:eastAsia="Times New Roman" w:hAnsi="Times New Roman"/>
          <w:lang w:eastAsia="ru-RU"/>
        </w:rPr>
      </w:pPr>
      <w:r w:rsidRPr="00C63B1F">
        <w:rPr>
          <w:rFonts w:ascii="Times New Roman" w:eastAsia="Times New Roman" w:hAnsi="Times New Roman"/>
          <w:lang w:eastAsia="ru-RU"/>
        </w:rPr>
        <w:t xml:space="preserve">Приложение </w:t>
      </w:r>
    </w:p>
    <w:p w:rsidR="007B0E4A" w:rsidRPr="00C63B1F" w:rsidRDefault="007B0E4A" w:rsidP="007B0E4A">
      <w:pPr>
        <w:spacing w:after="0" w:line="276" w:lineRule="auto"/>
        <w:ind w:firstLine="851"/>
        <w:jc w:val="right"/>
        <w:rPr>
          <w:rFonts w:ascii="Times New Roman" w:eastAsia="Times New Roman" w:hAnsi="Times New Roman"/>
          <w:lang w:eastAsia="ru-RU"/>
        </w:rPr>
      </w:pPr>
      <w:r w:rsidRPr="00C63B1F">
        <w:rPr>
          <w:rFonts w:ascii="Times New Roman" w:eastAsia="Times New Roman" w:hAnsi="Times New Roman"/>
          <w:lang w:eastAsia="ru-RU"/>
        </w:rPr>
        <w:t>к постановлению от</w:t>
      </w:r>
      <w:r w:rsidR="0044701C" w:rsidRPr="00C63B1F">
        <w:rPr>
          <w:rFonts w:ascii="Times New Roman" w:eastAsia="Times New Roman" w:hAnsi="Times New Roman"/>
          <w:lang w:eastAsia="ru-RU"/>
        </w:rPr>
        <w:t xml:space="preserve"> 25.01.2023г. №4</w:t>
      </w:r>
    </w:p>
    <w:p w:rsidR="007B0E4A" w:rsidRPr="00C63B1F" w:rsidRDefault="007B0E4A" w:rsidP="007B0E4A">
      <w:pPr>
        <w:spacing w:after="0" w:line="276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E4A" w:rsidRPr="007B0E4A" w:rsidRDefault="007B0E4A" w:rsidP="007B0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E4A">
        <w:rPr>
          <w:rFonts w:ascii="Times New Roman" w:eastAsia="Times New Roman" w:hAnsi="Times New Roman"/>
          <w:b/>
          <w:sz w:val="28"/>
          <w:szCs w:val="28"/>
          <w:lang w:eastAsia="ru-RU"/>
        </w:rPr>
        <w:t>Размер платы</w:t>
      </w:r>
    </w:p>
    <w:p w:rsidR="007B0E4A" w:rsidRPr="007B0E4A" w:rsidRDefault="007B0E4A" w:rsidP="007B0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E4A">
        <w:rPr>
          <w:rFonts w:ascii="Times New Roman" w:eastAsia="Times New Roman" w:hAnsi="Times New Roman"/>
          <w:b/>
          <w:sz w:val="28"/>
          <w:szCs w:val="28"/>
          <w:lang w:eastAsia="ru-RU"/>
        </w:rPr>
        <w:t>за пользование жилым помещением (платы за наем) для нанимателей</w:t>
      </w:r>
    </w:p>
    <w:p w:rsidR="007B0E4A" w:rsidRPr="007B0E4A" w:rsidRDefault="007B0E4A" w:rsidP="007B0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E4A">
        <w:rPr>
          <w:rFonts w:ascii="Times New Roman" w:eastAsia="Times New Roman" w:hAnsi="Times New Roman"/>
          <w:b/>
          <w:sz w:val="28"/>
          <w:szCs w:val="28"/>
          <w:lang w:eastAsia="ru-RU"/>
        </w:rPr>
        <w:t>жилых помещений по договорам социального найма и договорам найма</w:t>
      </w:r>
    </w:p>
    <w:p w:rsidR="007B0E4A" w:rsidRPr="007B0E4A" w:rsidRDefault="007B0E4A" w:rsidP="007B0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E4A">
        <w:rPr>
          <w:rFonts w:ascii="Times New Roman" w:eastAsia="Times New Roman" w:hAnsi="Times New Roman"/>
          <w:b/>
          <w:sz w:val="28"/>
          <w:szCs w:val="28"/>
          <w:lang w:eastAsia="ru-RU"/>
        </w:rPr>
        <w:t>жилых помещений государственного или муниципального жилищного</w:t>
      </w:r>
    </w:p>
    <w:p w:rsidR="0044701C" w:rsidRDefault="007B0E4A" w:rsidP="007B0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E4A">
        <w:rPr>
          <w:rFonts w:ascii="Times New Roman" w:eastAsia="Times New Roman" w:hAnsi="Times New Roman"/>
          <w:b/>
          <w:sz w:val="28"/>
          <w:szCs w:val="28"/>
          <w:lang w:eastAsia="ru-RU"/>
        </w:rPr>
        <w:t>ф</w:t>
      </w:r>
      <w:bookmarkStart w:id="0" w:name="_GoBack"/>
      <w:bookmarkEnd w:id="0"/>
      <w:r w:rsidRPr="007B0E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онда на территории </w:t>
      </w:r>
      <w:r w:rsidR="0044701C" w:rsidRPr="0044701C">
        <w:rPr>
          <w:rFonts w:ascii="Times New Roman" w:hAnsi="Times New Roman"/>
          <w:b/>
          <w:sz w:val="28"/>
          <w:szCs w:val="28"/>
        </w:rPr>
        <w:t>Сланцерудниковского муниципального образования Озинского муниципального района Саратовской области</w:t>
      </w:r>
    </w:p>
    <w:p w:rsidR="007B0E4A" w:rsidRPr="0044701C" w:rsidRDefault="0044701C" w:rsidP="007B0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01 февраля 2023 года</w:t>
      </w:r>
    </w:p>
    <w:tbl>
      <w:tblPr>
        <w:tblpPr w:leftFromText="180" w:rightFromText="180" w:vertAnchor="page" w:horzAnchor="margin" w:tblpY="505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7"/>
        <w:gridCol w:w="1772"/>
        <w:gridCol w:w="2695"/>
      </w:tblGrid>
      <w:tr w:rsidR="007B0E4A" w:rsidRPr="00C63B1F" w:rsidTr="00C63B1F">
        <w:tc>
          <w:tcPr>
            <w:tcW w:w="6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Потребительские качества жилого помещения</w:t>
            </w:r>
          </w:p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платы, рублей кв.м.</w:t>
            </w:r>
          </w:p>
        </w:tc>
      </w:tr>
      <w:tr w:rsidR="007B0E4A" w:rsidRPr="00C63B1F" w:rsidTr="00C63B1F">
        <w:tc>
          <w:tcPr>
            <w:tcW w:w="6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Капитальность (материал стен дома)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68AA" w:rsidRPr="00C63B1F" w:rsidTr="00C63B1F">
        <w:tc>
          <w:tcPr>
            <w:tcW w:w="5167" w:type="dxa"/>
            <w:shd w:val="clear" w:color="auto" w:fill="auto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кирпичный, монолитный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9C358B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2,44</w:t>
            </w:r>
          </w:p>
        </w:tc>
      </w:tr>
      <w:tr w:rsidR="00CE68AA" w:rsidRPr="00C63B1F" w:rsidTr="00C63B1F">
        <w:tc>
          <w:tcPr>
            <w:tcW w:w="5167" w:type="dxa"/>
            <w:shd w:val="clear" w:color="auto" w:fill="auto"/>
          </w:tcPr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блочный, крупнопанельный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9C358B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1,88</w:t>
            </w:r>
          </w:p>
        </w:tc>
      </w:tr>
      <w:tr w:rsidR="00CE68AA" w:rsidRPr="00C63B1F" w:rsidTr="00C63B1F">
        <w:trPr>
          <w:trHeight w:val="408"/>
        </w:trPr>
        <w:tc>
          <w:tcPr>
            <w:tcW w:w="5167" w:type="dxa"/>
            <w:shd w:val="clear" w:color="auto" w:fill="auto"/>
          </w:tcPr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смешанный или деревянный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9C358B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1,50</w:t>
            </w:r>
          </w:p>
        </w:tc>
      </w:tr>
      <w:tr w:rsidR="007B0E4A" w:rsidRPr="00C63B1F" w:rsidTr="00C63B1F">
        <w:tc>
          <w:tcPr>
            <w:tcW w:w="6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Благоустройство жилого помещения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68AA" w:rsidRPr="00C63B1F" w:rsidTr="00C63B1F">
        <w:tc>
          <w:tcPr>
            <w:tcW w:w="5167" w:type="dxa"/>
            <w:shd w:val="clear" w:color="auto" w:fill="auto"/>
          </w:tcPr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благоустроенные (централизованное</w:t>
            </w:r>
          </w:p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водоснабжение, водоотведение,</w:t>
            </w:r>
          </w:p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централизованное и индивидуальное газовое отопление, электроснабжение,</w:t>
            </w:r>
          </w:p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газоснабжение)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1,3</w:t>
            </w:r>
          </w:p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9C358B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2,44</w:t>
            </w:r>
          </w:p>
        </w:tc>
      </w:tr>
      <w:tr w:rsidR="00CE68AA" w:rsidRPr="00C63B1F" w:rsidTr="00C63B1F">
        <w:tc>
          <w:tcPr>
            <w:tcW w:w="5167" w:type="dxa"/>
            <w:shd w:val="clear" w:color="auto" w:fill="auto"/>
          </w:tcPr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частично-благоустроенные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9C358B" w:rsidP="00C63B1F">
            <w:pPr>
              <w:shd w:val="clear" w:color="auto" w:fill="FFFFFF"/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1,88</w:t>
            </w:r>
          </w:p>
        </w:tc>
      </w:tr>
      <w:tr w:rsidR="00CE68AA" w:rsidRPr="00C63B1F" w:rsidTr="00C63B1F">
        <w:tc>
          <w:tcPr>
            <w:tcW w:w="5167" w:type="dxa"/>
            <w:shd w:val="clear" w:color="auto" w:fill="auto"/>
          </w:tcPr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неблагоустроенные (печное отопление и (или) отсутствие централизованного</w:t>
            </w:r>
          </w:p>
          <w:p w:rsidR="007B0E4A" w:rsidRPr="00C63B1F" w:rsidRDefault="007B0E4A" w:rsidP="00C63B1F">
            <w:pPr>
              <w:shd w:val="clear" w:color="auto" w:fill="FFFFFF"/>
              <w:spacing w:after="0" w:line="240" w:lineRule="auto"/>
              <w:ind w:right="-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водоснабжения, водоотведения)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9C358B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1,50</w:t>
            </w:r>
          </w:p>
        </w:tc>
      </w:tr>
      <w:tr w:rsidR="007B0E4A" w:rsidRPr="00C63B1F" w:rsidTr="00C63B1F">
        <w:tc>
          <w:tcPr>
            <w:tcW w:w="6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Месторасположение дома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68AA" w:rsidRPr="00C63B1F" w:rsidTr="00C63B1F">
        <w:tc>
          <w:tcPr>
            <w:tcW w:w="5167" w:type="dxa"/>
            <w:shd w:val="clear" w:color="auto" w:fill="auto"/>
          </w:tcPr>
          <w:p w:rsidR="0044701C" w:rsidRPr="00C63B1F" w:rsidRDefault="0044701C" w:rsidP="00C63B1F">
            <w:pPr>
              <w:tabs>
                <w:tab w:val="left" w:pos="36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C63B1F">
              <w:rPr>
                <w:rFonts w:ascii="Times New Roman" w:eastAsia="Times New Roman" w:hAnsi="Times New Roman"/>
                <w:sz w:val="28"/>
                <w:szCs w:val="28"/>
              </w:rPr>
              <w:t>. Сланцевый Рудник</w:t>
            </w:r>
          </w:p>
          <w:p w:rsidR="007B0E4A" w:rsidRPr="00C63B1F" w:rsidRDefault="0044701C" w:rsidP="00C63B1F">
            <w:pPr>
              <w:tabs>
                <w:tab w:val="left" w:pos="36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</w:rPr>
              <w:t>многоэтажные дома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9C358B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2,44</w:t>
            </w:r>
          </w:p>
        </w:tc>
      </w:tr>
      <w:tr w:rsidR="00CE68AA" w:rsidRPr="00C63B1F" w:rsidTr="00C63B1F">
        <w:tc>
          <w:tcPr>
            <w:tcW w:w="5167" w:type="dxa"/>
            <w:shd w:val="clear" w:color="auto" w:fill="auto"/>
          </w:tcPr>
          <w:p w:rsidR="0044701C" w:rsidRPr="00C63B1F" w:rsidRDefault="0044701C" w:rsidP="00C63B1F">
            <w:pPr>
              <w:tabs>
                <w:tab w:val="left" w:pos="36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C63B1F">
              <w:rPr>
                <w:rFonts w:ascii="Times New Roman" w:eastAsia="Times New Roman" w:hAnsi="Times New Roman"/>
                <w:sz w:val="28"/>
                <w:szCs w:val="28"/>
              </w:rPr>
              <w:t>. Сланцевый Рудник</w:t>
            </w:r>
          </w:p>
          <w:p w:rsidR="007B0E4A" w:rsidRPr="00C63B1F" w:rsidRDefault="0044701C" w:rsidP="00C63B1F">
            <w:pPr>
              <w:tabs>
                <w:tab w:val="left" w:pos="36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</w:rPr>
              <w:t>одноэтажные дома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E4A" w:rsidRPr="00C63B1F" w:rsidRDefault="007B0E4A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0E4A" w:rsidRPr="00C63B1F" w:rsidRDefault="009C358B" w:rsidP="00C63B1F">
            <w:pPr>
              <w:tabs>
                <w:tab w:val="left" w:pos="3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3B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1,50</w:t>
            </w:r>
          </w:p>
        </w:tc>
      </w:tr>
    </w:tbl>
    <w:p w:rsidR="007B0E4A" w:rsidRPr="00C63B1F" w:rsidRDefault="007B0E4A" w:rsidP="007B0E4A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19F" w:rsidRDefault="00A7219F"/>
    <w:sectPr w:rsidR="00A7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4A"/>
    <w:rsid w:val="000573C5"/>
    <w:rsid w:val="00074798"/>
    <w:rsid w:val="002C1059"/>
    <w:rsid w:val="00363099"/>
    <w:rsid w:val="0044701C"/>
    <w:rsid w:val="004A1F5C"/>
    <w:rsid w:val="005D5766"/>
    <w:rsid w:val="007B0E4A"/>
    <w:rsid w:val="009C358B"/>
    <w:rsid w:val="00A7219F"/>
    <w:rsid w:val="00B45321"/>
    <w:rsid w:val="00C11289"/>
    <w:rsid w:val="00C63B1F"/>
    <w:rsid w:val="00CD5896"/>
    <w:rsid w:val="00CE68AA"/>
    <w:rsid w:val="00D37382"/>
    <w:rsid w:val="00E046A2"/>
    <w:rsid w:val="00E8779B"/>
    <w:rsid w:val="00F3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AD83"/>
  <w15:chartTrackingRefBased/>
  <w15:docId w15:val="{18968FE3-4578-4CCC-BCCA-74110C43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4A"/>
    <w:pPr>
      <w:ind w:right="-6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0573C5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link w:val="a4"/>
    <w:rsid w:val="00057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rsid w:val="0044701C"/>
    <w:pPr>
      <w:suppressAutoHyphens/>
      <w:spacing w:after="0" w:line="240" w:lineRule="auto"/>
      <w:jc w:val="both"/>
    </w:pPr>
    <w:rPr>
      <w:rFonts w:cs="Calibri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semiHidden/>
    <w:rsid w:val="0044701C"/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Hyperlink"/>
    <w:uiPriority w:val="99"/>
    <w:rsid w:val="0044701C"/>
    <w:rPr>
      <w:color w:val="0000FF"/>
      <w:u w:val="single"/>
    </w:rPr>
  </w:style>
  <w:style w:type="paragraph" w:styleId="a9">
    <w:name w:val="No Spacing"/>
    <w:uiPriority w:val="1"/>
    <w:qFormat/>
    <w:rsid w:val="004470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inki.sar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Admin</cp:lastModifiedBy>
  <cp:revision>2</cp:revision>
  <dcterms:created xsi:type="dcterms:W3CDTF">2023-02-13T12:50:00Z</dcterms:created>
  <dcterms:modified xsi:type="dcterms:W3CDTF">2023-02-13T12:50:00Z</dcterms:modified>
</cp:coreProperties>
</file>